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8"/>
          <w:tab w:val="left" w:pos="8280" w:leader="none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Cs w:val="28"/>
        </w:rPr>
        <w:t xml:space="preserve">Приложение № 2  к Техническому требованию  </w:t>
      </w:r>
    </w:p>
    <w:p>
      <w:pPr>
        <w:pStyle w:val="Normal"/>
        <w:tabs>
          <w:tab w:val="clear" w:pos="708"/>
          <w:tab w:val="left" w:pos="8280" w:leader="none"/>
        </w:tabs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tabs>
          <w:tab w:val="clear" w:pos="708"/>
          <w:tab w:val="left" w:pos="8280" w:leader="none"/>
        </w:tabs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НА ПРОЕКТИРОВАНИЕ</w:t>
      </w:r>
    </w:p>
    <w:p>
      <w:pPr>
        <w:pStyle w:val="Normal"/>
        <w:tabs>
          <w:tab w:val="clear" w:pos="708"/>
          <w:tab w:val="left" w:pos="8280" w:leader="none"/>
        </w:tabs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4"/>
          <w:szCs w:val="24"/>
          <w:shd w:fill="auto" w:val="clear"/>
        </w:rPr>
        <w:t>ОКПД2 43.22.12 Выполнение проектных, строительно-монтажных работ (включая поставку оборудования) по монтажу модульной компрессорной станции сжатого воздуха на Нерюнгринско</w:t>
      </w:r>
      <w:r>
        <w:rPr>
          <w:rFonts w:ascii="Times New Roman" w:hAnsi="Times New Roman"/>
          <w:color w:val="000000"/>
          <w:sz w:val="24"/>
          <w:szCs w:val="24"/>
          <w:shd w:fill="auto" w:val="clear"/>
        </w:rPr>
        <w:t>й ГРЭС в пос. Серебряный Бор Республики Саха (Якутия)</w:t>
      </w:r>
      <w:r>
        <w:rPr>
          <w:rFonts w:ascii="Times New Roman" w:hAnsi="Times New Roman"/>
          <w:color w:val="000000"/>
          <w:sz w:val="22"/>
          <w:szCs w:val="22"/>
          <w:shd w:fill="auto" w:val="clear"/>
        </w:rPr>
        <w:t xml:space="preserve"> </w:t>
      </w:r>
      <w:r>
        <w:rPr>
          <w:rFonts w:ascii="Times New Roman" w:hAnsi="Times New Roman"/>
          <w:i w:val="false"/>
          <w:iCs w:val="false"/>
          <w:color w:val="000000"/>
          <w:sz w:val="24"/>
          <w:szCs w:val="24"/>
          <w:shd w:fill="auto" w:val="clear"/>
        </w:rPr>
        <w:t>в рамках инвестиционного проекта R_505-НГ-24-203</w:t>
      </w:r>
      <w:r>
        <w:rPr>
          <w:rFonts w:ascii="Times New Roman" w:hAnsi="Times New Roman"/>
          <w:sz w:val="28"/>
          <w:szCs w:val="28"/>
        </w:rPr>
        <w:t>»</w:t>
      </w:r>
    </w:p>
    <w:p>
      <w:pPr>
        <w:pStyle w:val="Normal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tbl>
      <w:tblPr>
        <w:tblW w:w="495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613"/>
        <w:gridCol w:w="2106"/>
        <w:gridCol w:w="6542"/>
      </w:tblGrid>
      <w:tr>
        <w:trPr>
          <w:trHeight w:val="460" w:hRule="atLeast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106" w:firstLine="2"/>
              <w:jc w:val="center"/>
              <w:rPr>
                <w:shd w:fill="auto" w:val="clea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>№</w:t>
            </w:r>
          </w:p>
          <w:p>
            <w:pPr>
              <w:pStyle w:val="Normal"/>
              <w:widowControl w:val="false"/>
              <w:ind w:left="-106" w:hanging="0"/>
              <w:jc w:val="center"/>
              <w:rPr>
                <w:shd w:fill="auto" w:val="clea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>п/п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>Наименование раздела</w:t>
            </w: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>Содержание раздела</w:t>
            </w:r>
          </w:p>
        </w:tc>
      </w:tr>
      <w:tr>
        <w:trPr>
          <w:trHeight w:val="73" w:hRule="atLeast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0"/>
              <w:ind w:left="34" w:firstLine="141"/>
              <w:contextualSpacing/>
              <w:jc w:val="center"/>
              <w:rPr>
                <w:rFonts w:ascii="Times New Roman" w:hAnsi="Times New Roman"/>
                <w:sz w:val="20"/>
                <w:szCs w:val="20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Основание для разработки</w:t>
            </w: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Инвестиционная программа АО «ДГК»</w:t>
            </w:r>
          </w:p>
        </w:tc>
      </w:tr>
      <w:tr>
        <w:trPr>
          <w:trHeight w:val="73" w:hRule="atLeast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0"/>
              <w:ind w:left="34" w:firstLine="141"/>
              <w:contextualSpacing/>
              <w:jc w:val="center"/>
              <w:rPr>
                <w:rFonts w:ascii="Times New Roman" w:hAnsi="Times New Roman"/>
                <w:sz w:val="20"/>
                <w:szCs w:val="20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Стадийность проектирования</w:t>
            </w: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82" w:leader="none"/>
              </w:tabs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Проектные работы:</w:t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345" w:leader="none"/>
              </w:tabs>
              <w:suppressAutoHyphens w:val="true"/>
              <w:bidi w:val="0"/>
              <w:spacing w:lineRule="auto" w:line="240" w:beforeAutospacing="0" w:before="0" w:afterAutospacing="0" w:after="0"/>
              <w:ind w:left="340" w:right="227" w:hanging="227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Проведение комплекса обследований в объёме, необходимом для выполнения разработки общих технических решений.</w:t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345" w:leader="none"/>
              </w:tabs>
              <w:suppressAutoHyphens w:val="true"/>
              <w:bidi w:val="0"/>
              <w:spacing w:lineRule="auto" w:line="240" w:beforeAutospacing="0" w:before="0" w:afterAutospacing="0" w:after="0"/>
              <w:ind w:left="340" w:right="227" w:hanging="227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Разработки общих технических решений.</w:t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345" w:leader="none"/>
              </w:tabs>
              <w:suppressAutoHyphens w:val="true"/>
              <w:bidi w:val="0"/>
              <w:spacing w:lineRule="auto" w:line="240" w:beforeAutospacing="0" w:before="0" w:afterAutospacing="0" w:after="0"/>
              <w:ind w:left="340" w:right="227" w:hanging="227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Разработка проектной документации.</w:t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345" w:leader="none"/>
              </w:tabs>
              <w:suppressAutoHyphens w:val="true"/>
              <w:bidi w:val="0"/>
              <w:spacing w:lineRule="auto" w:line="240" w:beforeAutospacing="0" w:before="0" w:afterAutospacing="0" w:after="0"/>
              <w:ind w:left="340" w:right="227" w:hanging="227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Разработка рабочей документации, включая сметную.</w:t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345" w:leader="none"/>
              </w:tabs>
              <w:suppressAutoHyphens w:val="true"/>
              <w:bidi w:val="0"/>
              <w:spacing w:lineRule="auto" w:line="240" w:beforeAutospacing="0" w:before="0" w:afterAutospacing="0" w:after="0"/>
              <w:ind w:left="340" w:right="227" w:hanging="227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 xml:space="preserve">Экспертиза промышленной безопасности </w:t>
            </w: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проектной</w:t>
            </w: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 xml:space="preserve"> документации с получением положительного заключения.</w:t>
            </w:r>
          </w:p>
        </w:tc>
      </w:tr>
      <w:tr>
        <w:trPr>
          <w:trHeight w:val="73" w:hRule="atLeast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0"/>
              <w:ind w:left="34" w:firstLine="141"/>
              <w:contextualSpacing/>
              <w:jc w:val="center"/>
              <w:rPr>
                <w:rFonts w:ascii="Times New Roman" w:hAnsi="Times New Roman"/>
                <w:sz w:val="20"/>
                <w:szCs w:val="20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Район строительства</w:t>
            </w: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82" w:leader="none"/>
              </w:tabs>
              <w:ind w:left="5" w:hanging="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 xml:space="preserve">Республика Саха (Якутия), г. Нерюнгри, пгт. «Серебряный Бор, Нерюнгринская ГРЭС, территория </w:t>
            </w: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СП «Нерюнгринская ГРЭС»</w:t>
            </w:r>
          </w:p>
        </w:tc>
      </w:tr>
      <w:tr>
        <w:trPr>
          <w:trHeight w:val="567" w:hRule="atLeast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0"/>
              <w:ind w:left="34" w:firstLine="141"/>
              <w:contextualSpacing/>
              <w:jc w:val="center"/>
              <w:rPr>
                <w:rFonts w:ascii="Times New Roman" w:hAnsi="Times New Roman"/>
                <w:sz w:val="20"/>
                <w:szCs w:val="20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</w:r>
          </w:p>
          <w:p>
            <w:pPr>
              <w:pStyle w:val="Normal"/>
              <w:widowControl w:val="false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Требования к проектированию, применяемому оборудованию</w:t>
            </w: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shd w:fill="auto" w:val="clear"/>
              </w:rPr>
              <w:t>1. Сбор исходных данных: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1.1.</w:t>
              <w:tab/>
              <w:t>Перед началом проектирования выполнить сбор исходных данных, в объеме, необходимом для выполнения проектных работ. В том числе определить: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‒</w:t>
            </w: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ab/>
              <w:t>состав, размещение, срок эксплуатации и техническое состояние существующего первичного оборудования, точки подключения к инженерным сетям;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1.2. Результаты согласовать с Заказчиком, отчет с результатами предпроектного обследования оформить отдельным томом в составе ОТР.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1.3. Сбор исходных данных проводится Подрядчиком самостоятельно, с выездом специалистов на объекты. Заказчик обеспечивает доступ на объект и оказывает необходимое содействие в сборе исходных данных.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shd w:fill="auto" w:val="clear"/>
              </w:rPr>
              <w:t>2. Разработка ОТР: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ind w:left="0" w:hanging="0"/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- предусмотрены защитные сбросные устройства (кожухи, патрубки), обеспечивающие сброс избыточного давления (отвод среды) в безопасное для персонала направление. Конструкция сбросного устройства должна обеспечивать возможность контроля состояния и герметичности (плотности) взрывного клапана в процессе его эксплуатации.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ind w:left="0" w:hanging="0"/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- обеспечить наличие и исправность необходимого комплекта средств измерений прямого и дистанционного действия, стационарно установленных на оборудовании под давлением и в составе автоматизированных систем безопасности и управления, а также переносных для контроля параметров, влияющих на безопасность осуществляемых на ОПО технологических процессов и безопасность работы оборудования под давлением, а также точность их показаний в соответствии с положениями Федерального закона от 26 июня 2008 г. № 102-ФЗ "Об обеспечении единства измерений"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ind w:left="0" w:hanging="0"/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- оборудование модульной компрессорной станции сжатого воздуха  должно удовлетворять следующим требованиям: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382" w:leader="none"/>
              </w:tabs>
              <w:spacing w:before="0" w:after="0"/>
              <w:contextualSpacing/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производительность (при +20С и 101,3кПа) – не менее 800м3/час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382" w:leader="none"/>
              </w:tabs>
              <w:spacing w:before="0" w:after="0"/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давление (изб.) - не менее 0,9МПа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382" w:leader="none"/>
              </w:tabs>
              <w:spacing w:before="0" w:after="0"/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номинальная мощность – не менее 130кВт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382" w:leader="none"/>
              </w:tabs>
              <w:spacing w:before="0" w:after="0"/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Климатическое исполнение – УХЛ(1)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- электрооборудование осуществить с: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382" w:leader="none"/>
              </w:tabs>
              <w:spacing w:before="0" w:after="0"/>
              <w:contextualSpacing/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- защитным заземлением,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382" w:leader="none"/>
              </w:tabs>
              <w:spacing w:before="0" w:after="0"/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- автоматическим отключением питания,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382" w:leader="none"/>
              </w:tabs>
              <w:spacing w:before="0" w:after="0"/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- уравниванием и выравниванием потенциалов.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- предусмотреть резервный комплект (компрессор и электродвигатель).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оборудование должно быть защищено от доступа посторонних лиц (отдельное помещение, вандал-защитные боксы).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- осуществить выбор модульной компрессорной станции сжатого воздуха по условиям надежности, ремонтопригодности, опыта эксплуатации на электростанциях РФ не менее 10 лет, предпочтительно российского производства. Согласовать оборудование с Заказчиком;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- предусмотреть устройство основания под оборудование;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- предусмотреть подводку электропитания для подключения станции;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- предусмотреть магистраль для потребителей продуктового газа;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ind w:left="0" w:hanging="0"/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- предусмотреть систему слива конденсата;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ind w:left="0" w:hanging="0"/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- предусмотреть оборудование всеми необходимыми инженерными системами: энергоснабжение, вентиляция, отопление, освещение, пожарная сигнализация, охранная сигнализация, молниезащита;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ind w:left="0" w:hanging="0"/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-</w:t>
              <w:tab/>
              <w:t>предусмотреть установку системы дистанционного управления;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- выполнить необходимые расчёты, в т.ч. прочностные;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-</w:t>
              <w:tab/>
              <w:t>основные технические решения должны быть разработаны с учетом обеспечения безопасности обслуживания оборудования; обеспечения надежности работы оборудования; минимизации эксплуатационных затрат, охраны окружающей среды.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- в ОТР должны применяться оборудование и материалы отечественных производителей.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ind w:left="0" w:hanging="0"/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- выполнить оценку величины капитальных затрат.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-</w:t>
              <w:tab/>
              <w:t>должны применяться правила национального режима по Постановлению Правительства РФ от 23.12.2024 № 1875.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-</w:t>
              <w:tab/>
              <w:t>результаты ОТР согласовать с Заказчиком.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shd w:fill="auto" w:val="clear"/>
              </w:rPr>
              <w:t xml:space="preserve">3. Разработка ПД: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3.1. Разработка рабочей документации выполняется на основании утвержденной ОТР. Объём и состав рабочей документации должен соответствовать требованиям Национального стандарта Российской Федерации ГОСТ Р 21.101-202</w:t>
            </w: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 xml:space="preserve">6 </w:t>
            </w: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«Система проектной документации для строительства. Основные требования к проектной и рабочей документации».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shd w:fill="auto" w:val="clear"/>
              </w:rPr>
              <w:t xml:space="preserve">4. Разработка РД: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4.1. Разработка рабочей документации выполняется на основании утвержденной ОТР. Объём и состав рабочей документации должен соответствовать требованиям Национального стандарта Российской Федерации ГОСТ Р 21.101-202</w:t>
            </w: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 xml:space="preserve"> «Система проектной документации для строительства. Основные требования к проектной и рабочей документации».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4.1. Объем рабочей документации должен быть достаточным для заказа (изготовления) оборудования, и проведения строительно-монтажных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4.2. В составе РД учесть разработку необходимых комплектов чертежей, планов расположения, схем принципиальных, монтажных, спецификации оборудования.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4.3. Разработать общую пояснительную записку в соответствии с требованиями Постановления Правительства Российской Федерации от 16.02.2008 № 87.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 xml:space="preserve">4.4. Разработать раздел проект организации строительства (ПОС). ПОС оформить приложением к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основному</w:t>
            </w: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 xml:space="preserve"> комплекту РД. ПОС выполнить в соответствии с требованиями СП 48.13330.2019 «Свод правил. Организация строительства». Содержание ПОС должно соответствовать требованиям пункта 23 раздела 6 Постановления Правительства Российской Федерации от 16.02.2008 № 87 «О составе разделов проектной документации и требованиях к их содержанию».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4.5. В составе ПОС разработать: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‒</w:t>
            </w: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ab/>
              <w:t>календарный план строительства;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‒</w:t>
            </w: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ab/>
              <w:t>ведомости объемов общестроительных, монтажных и специальных строительных работ;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‒</w:t>
            </w: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ab/>
              <w:t>ведомость потребности в строительных конструкциях, изделиях, материалах и оборудовании с распределением по календарным периодам строительства;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‒</w:t>
            </w: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ab/>
              <w:t>перечень работ, для которых необходимо составление актов освидетельствования скрытых работ и актов промежуточной приемки ответственных конструкций (работ), порядок проведения приемочных испытаний (проверок);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‒</w:t>
            </w: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ab/>
              <w:t>краткую пояснительную записку.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4.6. При составлении календарного плана строительства учесть сроки изготовления и доставки оборудования к месту строительства.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4.7. В составе прилагаемых документов к РД разработать: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‒</w:t>
            </w: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ab/>
              <w:t>инструкции по эксплуатации устанавливаемого оборудования (системы);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‒</w:t>
            </w: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ab/>
              <w:t>сметную документацию.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4.8. РД согласовать с Заказчиком.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shd w:fill="auto" w:val="clear"/>
              </w:rPr>
              <w:t>5. Экспертиза промышленной безопасности разработанной документации с получением положительного заключения.</w:t>
            </w:r>
          </w:p>
        </w:tc>
      </w:tr>
      <w:tr>
        <w:trPr>
          <w:trHeight w:val="841" w:hRule="atLeast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0"/>
              <w:ind w:left="34" w:firstLine="141"/>
              <w:contextualSpacing/>
              <w:jc w:val="center"/>
              <w:rPr>
                <w:rFonts w:ascii="Times New Roman" w:hAnsi="Times New Roman"/>
                <w:sz w:val="20"/>
                <w:szCs w:val="20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hd w:fill="auto" w:val="clear"/>
              </w:rPr>
            </w:pPr>
            <w:bookmarkStart w:id="0" w:name="_Hlk57362550"/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Требования к составу разрабатываемой документации</w:t>
            </w:r>
            <w:bookmarkEnd w:id="0"/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Рабочую документацию (РД) согласовать в требуемом объеме с СП «Нерюнгринская ГРЭС».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Состав разделов РД, их объем должен соответствовать требованиям ГОСТ Р 21.101-202</w:t>
            </w: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 xml:space="preserve"> «Система проектной документации для строительства. Основные требования к проектной и рабочей документации», Постановлению Правительства Российской Федерации № 87 от 16.02.2008 «О составе разделов проектной документации и требованиях к их содержанию». Состав разделов, их объем должен также соответствовать требованиям ГОСТ Р 21.101-202</w:t>
            </w: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 xml:space="preserve"> «Система проектной документации для строительства. Основные требования к проектной и рабочей документации» по проектированию и соответствовать разделам проектной документации.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В составе РД разработать: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Сметную документацию в объем сводной и локальных смет в текущих ценах.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Пояснительную записку (ПЗ), объём которой должен соответствовать требованиям «Положения о составе разделов проектной документации и требования к их содержанию», утверждённым Постановлением Правительства РФ № 87 от 16.02.2008 г.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2" w:leader="none"/>
              </w:tabs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Раздел «Проект организации строительства» (ПОС); Раздел ПОС выполнить в соответствии с требованиями СП 48.13330.2019 «Свод правил. Организация строительства». Состав и содержание ПОС должны соответствовать требованиям пункта 23 раздела 6 Постановления Правительства Российской Федерации от 16.02.2008 № 87 «О составе разделов проектной документации и требованиях к их содержанию». При составлении календарного плана строительства учесть сроки изготовления и доставки материалов и оборудования к месту строительства. В ПОС разработать сводные спецификации на оборудование, строительные конструкции, материалы. В составе ПОС разработать: перечень работ, для которых необходимо составление актов освидетельствования скрытых работ и актов промежуточной приёмки ответственных конструкций (работ), порядок проведения приёмочных испытаний (проверок).</w:t>
            </w:r>
          </w:p>
        </w:tc>
      </w:tr>
      <w:tr>
        <w:trPr>
          <w:trHeight w:val="280" w:hRule="atLeast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before="0" w:after="0"/>
              <w:ind w:left="34" w:firstLine="141"/>
              <w:contextualSpacing/>
              <w:jc w:val="center"/>
              <w:rPr>
                <w:rFonts w:ascii="Times New Roman" w:hAnsi="Times New Roman"/>
                <w:sz w:val="20"/>
                <w:szCs w:val="20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Требования к качеству выполнения работ.</w:t>
            </w: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601" w:leader="none"/>
              </w:tabs>
              <w:ind w:firstLine="289"/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1. Подрядчик обязан применять современные технологии, методики, обладать необходимой базой действующих нормативно-технических документов.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601" w:leader="none"/>
              </w:tabs>
              <w:ind w:firstLine="289"/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2. Примененные при проектировании материалы, комплектующие изделия и оборудование должны соответствовать государственным стандартам и техническим условиям.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601" w:leader="none"/>
              </w:tabs>
              <w:ind w:firstLine="289"/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3. Подрядчик несет ответственность за соответствие проекта действующим нормам и правилам в области проектирования, требованиям Заказчика и исходным данным.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601" w:leader="none"/>
              </w:tabs>
              <w:ind w:firstLine="289"/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4 В проектно-сметной документации предусмотреть затраты на обязательное обучение специалистов, обслуживающих компрессорную станцию.</w:t>
            </w:r>
          </w:p>
        </w:tc>
      </w:tr>
      <w:tr>
        <w:trPr>
          <w:trHeight w:val="1223" w:hRule="atLeast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before="0" w:after="0"/>
              <w:ind w:left="34" w:firstLine="141"/>
              <w:contextualSpacing/>
              <w:jc w:val="center"/>
              <w:rPr>
                <w:rFonts w:ascii="Times New Roman" w:hAnsi="Times New Roman"/>
                <w:sz w:val="20"/>
                <w:szCs w:val="20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Требования пожарной безопасности</w:t>
            </w: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Рабочую документацию выполнить с учетом «Технического регламента о требованиях пожарной безопасности» (ФЗ от 22.07.2008 № 123), РД 153-34.0-49.101-2003 и иных нормативно-технических документов. Учесть требования федерального закона «О промышленной безопасности опасных производственных объектов» (ФЗ от 21.07.1997 № 116-ФЗ).</w:t>
            </w:r>
          </w:p>
        </w:tc>
      </w:tr>
      <w:tr>
        <w:trPr>
          <w:trHeight w:val="70" w:hRule="atLeast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before="0" w:after="0"/>
              <w:ind w:left="34" w:firstLine="141"/>
              <w:contextualSpacing/>
              <w:jc w:val="center"/>
              <w:rPr>
                <w:rFonts w:ascii="Times New Roman" w:hAnsi="Times New Roman"/>
                <w:sz w:val="20"/>
                <w:szCs w:val="20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Требования к процессу выполнения работ</w:t>
            </w: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59" w:leader="none"/>
              </w:tabs>
              <w:ind w:firstLine="289"/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1.  Все замечания экспертных и надзорных органов, а также несоответствия проектных решений и рабочей документации требованиям действующих нормативных и законодательных актов, устраняются Подрядчиком за счет собственных сил и средств, с внесением необходимых исправлений и изменений в документацию.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59" w:leader="none"/>
              </w:tabs>
              <w:ind w:firstLine="289"/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 xml:space="preserve">2. При выполнении </w:t>
            </w:r>
            <w:bookmarkStart w:id="1" w:name="_GoBack"/>
            <w:bookmarkEnd w:id="1"/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работ учесть основные технические характеристики установленного оборудования.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59" w:leader="none"/>
              </w:tabs>
              <w:spacing w:before="0" w:after="0"/>
              <w:ind w:firstLine="289"/>
              <w:contextualSpacing/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3. Не допускается указание в документации, в том числе спецификациях оборудования и материалов, конкретных производителей. Указываются тип, марка и характеристики оборудования.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59" w:leader="none"/>
              </w:tabs>
              <w:spacing w:before="0" w:after="0"/>
              <w:ind w:firstLine="289"/>
              <w:contextualSpacing/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4. В составе рабочей документации предусмотреть: сборочные и деталировочные чертежи для изготовления и заказа необходимого оборудования, а также выполнение всего комплекса работ по реализации объекта.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59" w:leader="none"/>
              </w:tabs>
              <w:spacing w:before="0" w:after="0"/>
              <w:ind w:firstLine="289"/>
              <w:contextualSpacing/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5. Состав сметной документации должен включать в себя в том числе: - сводный сметный расчёт;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59" w:leader="none"/>
              </w:tabs>
              <w:spacing w:before="0" w:after="0"/>
              <w:ind w:firstLine="289"/>
              <w:contextualSpacing/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- локальные сметы (сметные расчеты) на отдельные виды работ, которые необходимо выполнить по данному объекту;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59" w:leader="none"/>
              </w:tabs>
              <w:spacing w:before="0" w:after="0"/>
              <w:ind w:firstLine="289"/>
              <w:contextualSpacing/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- ведомости объёмов работ;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59" w:leader="none"/>
              </w:tabs>
              <w:spacing w:before="0" w:after="0"/>
              <w:ind w:firstLine="289"/>
              <w:contextualSpacing/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- прайс-листы и технико-коммерческие предложения на материалы и оборудование.</w:t>
            </w:r>
          </w:p>
        </w:tc>
      </w:tr>
      <w:tr>
        <w:trPr>
          <w:trHeight w:val="70" w:hRule="atLeast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before="0" w:after="0"/>
              <w:ind w:left="34" w:firstLine="141"/>
              <w:contextualSpacing/>
              <w:jc w:val="center"/>
              <w:rPr>
                <w:rFonts w:ascii="Times New Roman" w:hAnsi="Times New Roman"/>
                <w:sz w:val="20"/>
                <w:szCs w:val="20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Требования к количеству и формату отчетной документации, предоставляемой заказчику</w:t>
            </w: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firstLine="289"/>
              <w:contextualSpacing/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1. Четыре экземпляра в бумажном виде и один экземпляр на электронном носителе (на CD или DVD).</w:t>
            </w:r>
          </w:p>
          <w:p>
            <w:pPr>
              <w:pStyle w:val="Normal"/>
              <w:widowControl w:val="false"/>
              <w:spacing w:before="0" w:after="0"/>
              <w:ind w:firstLine="289"/>
              <w:contextualSpacing/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2. Формат передаваемой в электронном виде документации: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текстовая часть –doc</w:t>
            </w:r>
            <w:r>
              <w:rPr>
                <w:rFonts w:ascii="Times New Roman" w:hAnsi="Times New Roman"/>
                <w:sz w:val="20"/>
                <w:szCs w:val="20"/>
                <w:shd w:fill="auto" w:val="clear"/>
                <w:lang w:val="en-US"/>
              </w:rPr>
              <w:t>x</w:t>
            </w: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, pdf с подписями и печатями на титульных листах;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 xml:space="preserve">графическая часть – </w:t>
            </w:r>
            <w:r>
              <w:rPr>
                <w:rFonts w:ascii="Times New Roman" w:hAnsi="Times New Roman"/>
                <w:sz w:val="20"/>
                <w:szCs w:val="20"/>
                <w:shd w:fill="auto" w:val="clear"/>
                <w:lang w:val="en-US"/>
              </w:rPr>
              <w:t>cdw</w:t>
            </w: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 xml:space="preserve"> (КОМПАС), dwg (AutoCAD), pdf, с подписями на титульных листах;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 xml:space="preserve">таблицы данных – </w:t>
            </w:r>
            <w:r>
              <w:rPr>
                <w:rFonts w:ascii="Times New Roman" w:hAnsi="Times New Roman"/>
                <w:sz w:val="20"/>
                <w:szCs w:val="20"/>
                <w:shd w:fill="auto" w:val="clear"/>
                <w:lang w:val="en-US"/>
              </w:rPr>
              <w:t>pdf</w:t>
            </w: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, doc</w:t>
            </w:r>
            <w:r>
              <w:rPr>
                <w:rFonts w:ascii="Times New Roman" w:hAnsi="Times New Roman"/>
                <w:sz w:val="20"/>
                <w:szCs w:val="20"/>
                <w:shd w:fill="auto" w:val="clear"/>
                <w:lang w:val="en-US"/>
              </w:rPr>
              <w:t>x</w:t>
            </w: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 xml:space="preserve"> (MS Word), xls</w:t>
            </w:r>
            <w:r>
              <w:rPr>
                <w:rFonts w:ascii="Times New Roman" w:hAnsi="Times New Roman"/>
                <w:sz w:val="20"/>
                <w:szCs w:val="20"/>
                <w:shd w:fill="auto" w:val="clear"/>
                <w:lang w:val="en-US"/>
              </w:rPr>
              <w:t>x</w:t>
            </w: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 xml:space="preserve"> (MS Excel);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jc w:val="both"/>
              <w:rPr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 xml:space="preserve">сметную документацию – в формате «ГРАНД-смета» - </w:t>
            </w:r>
            <w:r>
              <w:rPr>
                <w:rFonts w:ascii="Times New Roman" w:hAnsi="Times New Roman"/>
                <w:sz w:val="20"/>
                <w:szCs w:val="20"/>
                <w:shd w:fill="auto" w:val="clear"/>
                <w:lang w:val="en-US"/>
              </w:rPr>
              <w:t>gsfx</w:t>
            </w: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, xls</w:t>
            </w:r>
            <w:r>
              <w:rPr>
                <w:rFonts w:ascii="Times New Roman" w:hAnsi="Times New Roman"/>
                <w:sz w:val="20"/>
                <w:szCs w:val="20"/>
                <w:shd w:fill="auto" w:val="clear"/>
                <w:lang w:val="en-US"/>
              </w:rPr>
              <w:t>x</w:t>
            </w: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 xml:space="preserve"> (MS Excel).</w:t>
            </w:r>
          </w:p>
        </w:tc>
      </w:tr>
      <w:tr>
        <w:trPr>
          <w:trHeight w:val="70" w:hRule="atLeast"/>
        </w:trPr>
        <w:tc>
          <w:tcPr>
            <w:tcW w:w="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before="0" w:after="0"/>
              <w:ind w:left="34" w:firstLine="141"/>
              <w:contextualSpacing/>
              <w:jc w:val="center"/>
              <w:rPr>
                <w:rFonts w:ascii="Times New Roman" w:hAnsi="Times New Roman"/>
                <w:sz w:val="20"/>
                <w:szCs w:val="20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</w:r>
          </w:p>
        </w:tc>
        <w:tc>
          <w:tcPr>
            <w:tcW w:w="2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color w:val="auto"/>
                <w:spacing w:val="0"/>
                <w:kern w:val="0"/>
                <w:sz w:val="20"/>
                <w:szCs w:val="20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Перечень нормативных документов и приказов, обязательных к применению</w:t>
            </w:r>
          </w:p>
        </w:tc>
        <w:tc>
          <w:tcPr>
            <w:tcW w:w="65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lineRule="auto" w:line="240"/>
              <w:ind w:left="0" w:hanging="0"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shd w:fill="auto" w:val="clear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auto" w:val="clear"/>
                <w:lang w:eastAsia="ru-RU" w:bidi="ar-SA"/>
              </w:rPr>
            </w:r>
          </w:p>
          <w:p>
            <w:pPr>
              <w:pStyle w:val="Style23"/>
              <w:widowControl w:val="false"/>
              <w:spacing w:lineRule="auto" w:line="240" w:before="0" w:after="14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shd w:fill="auto" w:val="clear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auto" w:val="clear"/>
                <w:lang w:eastAsia="ru-RU" w:bidi="ar-SA"/>
              </w:rPr>
              <w:t>- Федеральный закон от 29.12.2004 № 190-ФЗ «Градостроительный кодекс Российской Федерации»;</w:t>
            </w:r>
          </w:p>
          <w:p>
            <w:pPr>
              <w:pStyle w:val="Style23"/>
              <w:widowControl w:val="false"/>
              <w:spacing w:lineRule="auto" w:line="240" w:before="0" w:after="14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shd w:fill="auto" w:val="clear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auto" w:val="clear"/>
                <w:lang w:eastAsia="ru-RU" w:bidi="ar-SA"/>
              </w:rPr>
              <w:t xml:space="preserve"> –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auto" w:val="clear"/>
                <w:lang w:eastAsia="ru-RU" w:bidi="ar-SA"/>
              </w:rPr>
              <w:t>Федеральный закон от 30.12.2009 № 384-ФЗ «Технический регламент о безопасности зданий и сооружений»;</w:t>
            </w:r>
          </w:p>
          <w:p>
            <w:pPr>
              <w:pStyle w:val="Style23"/>
              <w:widowControl w:val="false"/>
              <w:spacing w:lineRule="auto" w:line="240" w:before="0" w:after="14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shd w:fill="auto" w:val="clear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auto" w:val="clear"/>
                <w:lang w:eastAsia="ru-RU" w:bidi="ar-SA"/>
              </w:rPr>
              <w:t>- Федеральный закон РФ от 27.12.2002 № 184-ФЗ «О техническом регулировании»;</w:t>
            </w:r>
          </w:p>
          <w:p>
            <w:pPr>
              <w:pStyle w:val="Style23"/>
              <w:widowControl w:val="false"/>
              <w:spacing w:lineRule="auto" w:line="240" w:before="0" w:after="140"/>
              <w:ind w:right="137" w:hanging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shd w:fill="auto" w:val="clear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auto" w:val="clear"/>
                <w:lang w:eastAsia="ru-RU" w:bidi="ar-SA"/>
              </w:rPr>
              <w:t>- Федеральный закон от 10.01.2002 № 7-ФЗ «Об охране окружающей среды»;</w:t>
            </w:r>
          </w:p>
          <w:p>
            <w:pPr>
              <w:pStyle w:val="Style23"/>
              <w:widowControl w:val="false"/>
              <w:spacing w:lineRule="auto" w:line="240" w:before="0" w:after="14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shd w:fill="auto" w:val="clear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auto" w:val="clear"/>
                <w:lang w:eastAsia="ru-RU" w:bidi="ar-SA"/>
              </w:rPr>
              <w:t>- Федеральный закон от 21.12.1994 № 69-ФЗ «О пожарной безопасности»;</w:t>
            </w:r>
          </w:p>
          <w:p>
            <w:pPr>
              <w:pStyle w:val="Style23"/>
              <w:widowControl w:val="false"/>
              <w:spacing w:lineRule="auto" w:line="240" w:before="0" w:after="14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shd w:fill="auto" w:val="clear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auto" w:val="clear"/>
                <w:lang w:eastAsia="ru-RU" w:bidi="ar-SA"/>
              </w:rPr>
              <w:t>- Федеральный закон от 21.07.1997 № 116-ФЗ «О промышленной безопасности опасных производственных объектов»;</w:t>
            </w:r>
          </w:p>
          <w:p>
            <w:pPr>
              <w:pStyle w:val="Style23"/>
              <w:widowControl w:val="false"/>
              <w:spacing w:lineRule="auto" w:line="240" w:before="0" w:after="14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shd w:fill="auto" w:val="clear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auto" w:val="clear"/>
                <w:lang w:eastAsia="ru-RU" w:bidi="ar-SA"/>
              </w:rPr>
              <w:t>- Постановление Правительства Российской Федерации от 16.02.2008 № 87 «О составе разделов проектной документации и требованиях к их содержанию»;</w:t>
            </w:r>
          </w:p>
          <w:p>
            <w:pPr>
              <w:pStyle w:val="Style23"/>
              <w:widowControl w:val="false"/>
              <w:spacing w:lineRule="auto" w:line="240" w:before="0" w:after="14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shd w:fill="auto" w:val="clear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auto" w:val="clear"/>
                <w:lang w:eastAsia="ru-RU" w:bidi="ar-SA"/>
              </w:rPr>
              <w:t>- Постановления Правительства РФ от 16.09.2020 № 1479 «Об утверждении Правил противопожарного режима в Российской Федерации»;</w:t>
            </w:r>
          </w:p>
          <w:p>
            <w:pPr>
              <w:pStyle w:val="Style23"/>
              <w:widowControl w:val="false"/>
              <w:spacing w:lineRule="auto" w:line="240" w:before="0" w:after="14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shd w:fill="auto" w:val="clear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auto" w:val="clear"/>
                <w:lang w:eastAsia="ru-RU" w:bidi="ar-SA"/>
              </w:rPr>
              <w:t>- Постановления Правительства РФ от 24.12.2020 № 2255 «Об утверждении требований к осветительным устройствам и электрическим лампам, используемым в цепях переменного тока в целях освещения»;</w:t>
            </w:r>
          </w:p>
          <w:p>
            <w:pPr>
              <w:pStyle w:val="Style23"/>
              <w:widowControl w:val="false"/>
              <w:spacing w:lineRule="auto" w:line="240" w:before="0" w:after="14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shd w:fill="auto" w:val="clear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auto" w:val="clear"/>
                <w:lang w:eastAsia="ru-RU" w:bidi="ar-SA"/>
              </w:rPr>
              <w:t>- Приказ Министерства энергетики Российской Федерации от 04.10.2022 №1070 «Об утверждении Правил технической эксплуатации электрических станций и сетей Российской Федерации»;</w:t>
            </w:r>
          </w:p>
          <w:p>
            <w:pPr>
              <w:pStyle w:val="Style23"/>
              <w:widowControl w:val="false"/>
              <w:spacing w:lineRule="auto" w:line="240" w:before="0" w:after="14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shd w:fill="auto" w:val="clear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auto" w:val="clear"/>
                <w:lang w:eastAsia="ru-RU" w:bidi="ar-SA"/>
              </w:rPr>
              <w:t>- Приказ Министерства труда и социальной защиты Российской Федерации от 15.12.2020 №903н «Об утверждении Правил по охране труда при эксплуатации электроустановок»;</w:t>
            </w:r>
          </w:p>
          <w:p>
            <w:pPr>
              <w:pStyle w:val="Style23"/>
              <w:widowControl w:val="false"/>
              <w:spacing w:lineRule="auto" w:line="240" w:before="0" w:after="14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shd w:fill="auto" w:val="clear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auto" w:val="clear"/>
                <w:lang w:eastAsia="ru-RU" w:bidi="ar-SA"/>
              </w:rPr>
              <w:t>- Приказ Министерства труда и социальной защиты Российской Федерации от 16.11.2020 №782н «Об утверждении Правил по охране труда при эработе на высоте»;</w:t>
            </w:r>
          </w:p>
          <w:p>
            <w:pPr>
              <w:pStyle w:val="Style23"/>
              <w:widowControl w:val="false"/>
              <w:spacing w:lineRule="auto" w:line="240" w:before="0" w:after="14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shd w:fill="auto" w:val="clear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auto" w:val="clear"/>
                <w:lang w:eastAsia="ru-RU" w:bidi="ar-SA"/>
              </w:rPr>
              <w:t>- Приказ Министерства энергетики РФ от 08.07.2002 №204.  Раздел 2. Глава 2.1, 2.3 Правил устройства электроустановок ПУЭ (издание седьмое);</w:t>
            </w:r>
          </w:p>
          <w:p>
            <w:pPr>
              <w:pStyle w:val="Style23"/>
              <w:widowControl w:val="false"/>
              <w:spacing w:lineRule="auto" w:line="240" w:before="0" w:after="14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shd w:fill="auto" w:val="clear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auto" w:val="clear"/>
                <w:lang w:eastAsia="ru-RU" w:bidi="ar-SA"/>
              </w:rPr>
              <w:t>- Приказ Ростехнадзора от 15.12.2020 №529 «Об утверждении федеральных норм и правил в области промышленной безопасности «Правила промышленной безопасности складов нефти и нефтепродуктов»;</w:t>
            </w:r>
          </w:p>
          <w:p>
            <w:pPr>
              <w:pStyle w:val="Style23"/>
              <w:widowControl w:val="false"/>
              <w:spacing w:lineRule="auto" w:line="240" w:before="0" w:after="140"/>
              <w:ind w:right="137" w:hanging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shd w:fill="auto" w:val="clear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auto" w:val="clear"/>
                <w:lang w:eastAsia="ru-RU" w:bidi="ar-SA"/>
              </w:rPr>
              <w:t>- ГОСТ 31565 - 2012 «Кабельные изделия. Требования пожарной безопасности»;</w:t>
            </w:r>
          </w:p>
          <w:p>
            <w:pPr>
              <w:pStyle w:val="Style23"/>
              <w:widowControl w:val="false"/>
              <w:spacing w:lineRule="auto" w:line="240" w:before="0" w:after="140"/>
              <w:ind w:right="137" w:hanging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shd w:fill="auto" w:val="clear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auto" w:val="clear"/>
                <w:lang w:eastAsia="ru-RU" w:bidi="ar-SA"/>
              </w:rPr>
              <w:t>- ГОСТ 22483-2012 «Жилы токопроводящие для кабелей, проводов и шнуров»;</w:t>
            </w:r>
          </w:p>
          <w:p>
            <w:pPr>
              <w:pStyle w:val="Style23"/>
              <w:widowControl w:val="false"/>
              <w:spacing w:lineRule="auto" w:line="240" w:before="0" w:after="140"/>
              <w:ind w:right="137" w:hanging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shd w:fill="auto" w:val="clear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auto" w:val="clear"/>
                <w:lang w:eastAsia="ru-RU" w:bidi="ar-SA"/>
              </w:rPr>
              <w:t>- СП 48.13330.2019 Свод правил. Организация строительства;</w:t>
            </w:r>
          </w:p>
          <w:p>
            <w:pPr>
              <w:pStyle w:val="Style23"/>
              <w:widowControl w:val="false"/>
              <w:spacing w:lineRule="auto" w:line="240" w:before="0" w:after="140"/>
              <w:ind w:right="137" w:hanging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shd w:fill="auto" w:val="clear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auto" w:val="clear"/>
                <w:lang w:eastAsia="ru-RU" w:bidi="ar-SA"/>
              </w:rPr>
              <w:t>- СП 131.13330.2020. Свод правил. Строительная климатология;</w:t>
            </w:r>
          </w:p>
          <w:p>
            <w:pPr>
              <w:pStyle w:val="Style23"/>
              <w:widowControl w:val="false"/>
              <w:spacing w:lineRule="auto" w:line="240" w:before="0" w:after="140"/>
              <w:ind w:right="137" w:hanging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shd w:fill="auto" w:val="clear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auto" w:val="clear"/>
                <w:lang w:eastAsia="ru-RU" w:bidi="ar-SA"/>
              </w:rPr>
              <w:t>- СП 76.13330.2016 «Электротехнические устройства»;</w:t>
            </w:r>
          </w:p>
          <w:p>
            <w:pPr>
              <w:pStyle w:val="Style23"/>
              <w:widowControl w:val="false"/>
              <w:spacing w:lineRule="auto" w:line="240" w:before="0" w:after="14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shd w:fill="auto" w:val="clear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auto" w:val="clear"/>
                <w:lang w:eastAsia="ru-RU" w:bidi="ar-SA"/>
              </w:rPr>
              <w:t>- СП 7.13130.2013 «Отопление, вентиляция и кондиционирование Требования пожарной безопасности».</w:t>
            </w:r>
          </w:p>
          <w:p>
            <w:pPr>
              <w:pStyle w:val="Style23"/>
              <w:widowControl w:val="false"/>
              <w:spacing w:lineRule="auto" w:line="240" w:before="0" w:after="140"/>
              <w:ind w:right="137" w:hanging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shd w:fill="auto" w:val="clear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auto" w:val="clear"/>
                <w:lang w:eastAsia="ru-RU" w:bidi="ar-SA"/>
              </w:rPr>
              <w:t>- СанПиН 2.2.1/2.1.1.1200-03 «Санитарно-защитные зоны и санитарная классификация предприятий, сооружений и иных объектов»;</w:t>
            </w:r>
          </w:p>
          <w:p>
            <w:pPr>
              <w:pStyle w:val="Style23"/>
              <w:widowControl w:val="false"/>
              <w:spacing w:lineRule="auto" w:line="240" w:before="0" w:after="140"/>
              <w:ind w:right="137" w:hanging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shd w:fill="auto" w:val="clear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auto" w:val="clear"/>
                <w:lang w:eastAsia="ru-RU" w:bidi="ar-SA"/>
              </w:rPr>
              <w:t>-  СанПиН 1.2.3685-21 «Гигиенические нормативы и требования к обеспечению безопасности и (или) безвредности для человека факторов среды обитания»;</w:t>
            </w:r>
          </w:p>
          <w:p>
            <w:pPr>
              <w:pStyle w:val="Style23"/>
              <w:widowControl w:val="false"/>
              <w:spacing w:lineRule="auto" w:line="240" w:before="0" w:after="14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shd w:fill="auto" w:val="clear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auto" w:val="clear"/>
                <w:lang w:eastAsia="ru-RU" w:bidi="ar-SA"/>
              </w:rPr>
              <w:t>- СО 153-34.21.122-2003 (РД 34.21.122-87) «Инструкция по устройству молниезащиты зданий, сооружений и промышленных коммуникаций»;</w:t>
            </w:r>
          </w:p>
          <w:p>
            <w:pPr>
              <w:pStyle w:val="Style23"/>
              <w:widowControl w:val="false"/>
              <w:spacing w:lineRule="auto" w:line="240" w:before="0" w:after="14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shd w:fill="auto" w:val="clear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auto" w:val="clear"/>
                <w:lang w:eastAsia="ru-RU" w:bidi="ar-SA"/>
              </w:rPr>
              <w:t>- ГОСТ Р 21.101-2020 «Система проектной документации для строительства. Основные требования к проектной и рабочей документации»;</w:t>
            </w:r>
          </w:p>
          <w:p>
            <w:pPr>
              <w:pStyle w:val="Style23"/>
              <w:widowControl w:val="false"/>
              <w:spacing w:lineRule="auto" w:line="240" w:before="0" w:after="14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shd w:fill="auto" w:val="clear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auto" w:val="clear"/>
                <w:lang w:eastAsia="ru-RU" w:bidi="ar-SA"/>
              </w:rPr>
              <w:t>- Приказ Министерства энергетики Российской Федерации от 14.05.2019 № 465 «Об утверждении Правил проведения технического освидетельствования оборудования, зданий и сооружений объектов электроэнергетики»;</w:t>
            </w:r>
          </w:p>
          <w:p>
            <w:pPr>
              <w:pStyle w:val="Style23"/>
              <w:widowControl w:val="false"/>
              <w:spacing w:lineRule="auto" w:line="240" w:before="0" w:after="14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shd w:fill="auto" w:val="clear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auto" w:val="clear"/>
                <w:lang w:eastAsia="ru-RU" w:bidi="ar-SA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0"/>
                <w:kern w:val="0"/>
                <w:sz w:val="20"/>
                <w:szCs w:val="20"/>
                <w:highlight w:val="white"/>
                <w:shd w:fill="auto" w:val="clear"/>
                <w:lang w:eastAsia="ru-RU" w:bidi="ar-SA"/>
              </w:rPr>
              <w:t>Постановление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 закупок товаров, работ, услуг отдельными видами юридических лиц»</w:t>
            </w:r>
          </w:p>
          <w:p>
            <w:pPr>
              <w:pStyle w:val="Style23"/>
              <w:widowControl w:val="false"/>
              <w:spacing w:lineRule="auto" w:line="240" w:before="0" w:after="14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shd w:fill="auto" w:val="clear"/>
                <w:lang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shd w:fill="auto" w:val="clear"/>
                <w:lang w:eastAsia="ru-RU" w:bidi="ar-SA"/>
              </w:rPr>
              <w:t>- Другая действующая на момент разработки проектной документации нормативно-техническая документация, действующие законодательные документы Российской Федерации и нормативные акты к ним.</w:t>
            </w:r>
          </w:p>
        </w:tc>
      </w:tr>
    </w:tbl>
    <w:p>
      <w:pPr>
        <w:pStyle w:val="Normal"/>
        <w:tabs>
          <w:tab w:val="clear" w:pos="708"/>
          <w:tab w:val="left" w:pos="8280" w:leader="none"/>
        </w:tabs>
        <w:jc w:val="center"/>
        <w:rPr>
          <w:rFonts w:ascii="Times New Roman" w:hAnsi="Times New Roman"/>
          <w:b/>
          <w:b/>
          <w:sz w:val="16"/>
          <w:szCs w:val="16"/>
          <w:highlight w:val="white"/>
        </w:rPr>
      </w:pPr>
      <w:r>
        <w:rPr>
          <w:rFonts w:ascii="Times New Roman" w:hAnsi="Times New Roman"/>
          <w:b/>
          <w:sz w:val="16"/>
          <w:szCs w:val="16"/>
          <w:highlight w:val="white"/>
        </w:rPr>
      </w:r>
    </w:p>
    <w:p>
      <w:pPr>
        <w:pStyle w:val="Normal"/>
        <w:tabs>
          <w:tab w:val="clear" w:pos="708"/>
          <w:tab w:val="left" w:pos="8280" w:leader="none"/>
        </w:tabs>
        <w:rPr>
          <w:rFonts w:ascii="Times New Roman" w:hAnsi="Times New Roman"/>
          <w:b/>
          <w:b/>
          <w:sz w:val="16"/>
          <w:szCs w:val="16"/>
          <w:highlight w:val="white"/>
        </w:rPr>
      </w:pPr>
      <w:r>
        <w:rPr>
          <w:rFonts w:ascii="Times New Roman" w:hAnsi="Times New Roman"/>
          <w:b/>
          <w:sz w:val="16"/>
          <w:szCs w:val="16"/>
          <w:highlight w:val="white"/>
        </w:rPr>
      </w:r>
    </w:p>
    <w:p>
      <w:pPr>
        <w:pStyle w:val="Normal"/>
        <w:rPr>
          <w:highlight w:val="white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Segoe U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Wingdings">
    <w:charset w:val="02"/>
    <w:family w:val="auto"/>
    <w:pitch w:val="default"/>
  </w:font>
  <w:font w:name="Courier New">
    <w:charset w:val="01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85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5" w:hanging="180"/>
      </w:pPr>
    </w:lvl>
  </w:abstractNum>
  <w:abstractNum w:abstractNumId="2"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fals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2"/>
        <w:szCs w:val="22"/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2"/>
        <w:szCs w:val="22"/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2"/>
        <w:szCs w:val="22"/>
        <w:rFonts w:ascii="Times New Roman" w:hAnsi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2"/>
        <w:szCs w:val="22"/>
        <w:rFonts w:ascii="Times New Roman" w:hAnsi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2"/>
        <w:szCs w:val="22"/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2"/>
        <w:szCs w:val="22"/>
        <w:rFonts w:ascii="Times New Roman" w:hAnsi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2"/>
        <w:szCs w:val="22"/>
        <w:rFonts w:ascii="Times New Roman" w:hAnsi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2"/>
        <w:szCs w:val="22"/>
        <w:rFonts w:ascii="Times New Roman" w:hAnsi="Times New Roman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21" w:customStyle="1">
    <w:name w:val="Заголовок 2 Знак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31" w:customStyle="1">
    <w:name w:val="Заголовок 3 Знак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41" w:customStyle="1">
    <w:name w:val="Заголовок 4 Знак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1" w:customStyle="1">
    <w:name w:val="Заголовок 5 Знак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1" w:customStyle="1">
    <w:name w:val="Заголовок 6 Знак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1" w:customStyle="1">
    <w:name w:val="Заголовок 7 Знак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1" w:customStyle="1">
    <w:name w:val="Заголовок 8 Знак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1" w:customStyle="1">
    <w:name w:val="Заголовок 9 Знак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5" w:customStyle="1">
    <w:name w:val="Заголовок Знак"/>
    <w:basedOn w:val="DefaultParagraphFont"/>
    <w:uiPriority w:val="10"/>
    <w:qFormat/>
    <w:rPr>
      <w:sz w:val="48"/>
      <w:szCs w:val="48"/>
    </w:rPr>
  </w:style>
  <w:style w:type="character" w:styleId="Style6" w:customStyle="1">
    <w:name w:val="Подзаголовок Знак"/>
    <w:basedOn w:val="DefaultParagraphFont"/>
    <w:uiPriority w:val="11"/>
    <w:qFormat/>
    <w:rPr>
      <w:sz w:val="24"/>
      <w:szCs w:val="24"/>
    </w:rPr>
  </w:style>
  <w:style w:type="character" w:styleId="22" w:customStyle="1">
    <w:name w:val="Цитата 2 Знак"/>
    <w:uiPriority w:val="29"/>
    <w:qFormat/>
    <w:rPr>
      <w:i/>
    </w:rPr>
  </w:style>
  <w:style w:type="character" w:styleId="Style7" w:customStyle="1">
    <w:name w:val="Выделенная цитата Знак"/>
    <w:uiPriority w:val="30"/>
    <w:qFormat/>
    <w:rPr>
      <w:i/>
    </w:rPr>
  </w:style>
  <w:style w:type="character" w:styleId="Style8" w:customStyle="1">
    <w:name w:val="Верхний колонтитул Знак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Style9" w:customStyle="1">
    <w:name w:val="Нижний колонтитул Знак"/>
    <w:uiPriority w:val="99"/>
    <w:qFormat/>
    <w:rPr/>
  </w:style>
  <w:style w:type="character" w:styleId="Style10">
    <w:name w:val="Интернет-ссылка"/>
    <w:uiPriority w:val="99"/>
    <w:unhideWhenUsed/>
    <w:rPr>
      <w:color w:val="0563C1" w:themeColor="hyperlink"/>
      <w:u w:val="single"/>
    </w:rPr>
  </w:style>
  <w:style w:type="character" w:styleId="Style11" w:customStyle="1">
    <w:name w:val="Текст сноски Знак"/>
    <w:uiPriority w:val="99"/>
    <w:qFormat/>
    <w:rPr>
      <w:sz w:val="18"/>
    </w:rPr>
  </w:style>
  <w:style w:type="character" w:styleId="Style12">
    <w:name w:val="Символ сноски"/>
    <w:uiPriority w:val="99"/>
    <w:unhideWhenUsed/>
    <w:qFormat/>
    <w:rPr>
      <w:vertAlign w:val="superscript"/>
    </w:rPr>
  </w:style>
  <w:style w:type="character" w:styleId="Style13">
    <w:name w:val="Привязка сноски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Style14" w:customStyle="1">
    <w:name w:val="Текст концевой сноски Знак"/>
    <w:uiPriority w:val="99"/>
    <w:qFormat/>
    <w:rPr>
      <w:sz w:val="20"/>
    </w:rPr>
  </w:style>
  <w:style w:type="character" w:styleId="Style15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16">
    <w:name w:val="Привязка концевой сноски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Style17" w:customStyle="1">
    <w:name w:val="Абзац списка Знак"/>
    <w:uiPriority w:val="34"/>
    <w:qFormat/>
    <w:rPr>
      <w:rFonts w:ascii="Calibri" w:hAnsi="Calibri" w:eastAsia="Times New Roman" w:cs="Times New Roman"/>
      <w:sz w:val="24"/>
      <w:szCs w:val="24"/>
      <w:lang w:eastAsia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Style18" w:customStyle="1">
    <w:name w:val="Текст примечания Знак"/>
    <w:basedOn w:val="DefaultParagraphFont"/>
    <w:uiPriority w:val="99"/>
    <w:semiHidden/>
    <w:qFormat/>
    <w:rPr>
      <w:rFonts w:ascii="Calibri" w:hAnsi="Calibri" w:eastAsia="Times New Roman" w:cs="Times New Roman"/>
      <w:sz w:val="20"/>
      <w:szCs w:val="20"/>
      <w:lang w:eastAsia="ru-RU"/>
    </w:rPr>
  </w:style>
  <w:style w:type="character" w:styleId="Style19" w:customStyle="1">
    <w:name w:val="Тема примечания Знак"/>
    <w:basedOn w:val="Style18"/>
    <w:uiPriority w:val="99"/>
    <w:semiHidden/>
    <w:qFormat/>
    <w:rPr>
      <w:rFonts w:ascii="Calibri" w:hAnsi="Calibri" w:eastAsia="Times New Roman" w:cs="Times New Roman"/>
      <w:b/>
      <w:bCs/>
      <w:sz w:val="20"/>
      <w:szCs w:val="20"/>
      <w:lang w:eastAsia="ru-RU"/>
    </w:rPr>
  </w:style>
  <w:style w:type="character" w:styleId="Style20" w:customStyle="1">
    <w:name w:val="Текст выноски Знак"/>
    <w:basedOn w:val="DefaultParagraphFont"/>
    <w:uiPriority w:val="99"/>
    <w:semiHidden/>
    <w:qFormat/>
    <w:rPr>
      <w:rFonts w:ascii="Segoe UI" w:hAnsi="Segoe UI" w:eastAsia="Times New Roman" w:cs="Segoe UI"/>
      <w:sz w:val="18"/>
      <w:szCs w:val="18"/>
      <w:lang w:eastAsia="ru-RU"/>
    </w:rPr>
  </w:style>
  <w:style w:type="character" w:styleId="Style21">
    <w:name w:val="Символ нумерации"/>
    <w:qFormat/>
    <w:rPr>
      <w:rFonts w:ascii="Times New Roman" w:hAnsi="Times New Roman"/>
      <w:sz w:val="22"/>
      <w:szCs w:val="22"/>
    </w:rPr>
  </w:style>
  <w:style w:type="paragraph" w:styleId="Style22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Style23">
    <w:name w:val="Body Text"/>
    <w:basedOn w:val="Normal"/>
    <w:pPr>
      <w:spacing w:lineRule="auto" w:line="276" w:before="0" w:after="140"/>
    </w:pPr>
    <w:rPr/>
  </w:style>
  <w:style w:type="paragraph" w:styleId="Style24">
    <w:name w:val="List"/>
    <w:basedOn w:val="Style23"/>
    <w:pPr/>
    <w:rPr>
      <w:rFonts w:cs="Arial Unicode MS"/>
    </w:rPr>
  </w:style>
  <w:style w:type="paragraph" w:styleId="Style25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5B9BD5" w:themeColor="accent1"/>
      <w:sz w:val="18"/>
      <w:szCs w:val="18"/>
    </w:rPr>
  </w:style>
  <w:style w:type="paragraph" w:styleId="Style26">
    <w:name w:val="Указатель"/>
    <w:basedOn w:val="Normal"/>
    <w:qFormat/>
    <w:pPr>
      <w:suppressLineNumbers/>
    </w:pPr>
    <w:rPr>
      <w:rFonts w:cs="Arial Unicode MS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27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28">
    <w:name w:val="Subtitle"/>
    <w:basedOn w:val="Normal"/>
    <w:uiPriority w:val="11"/>
    <w:qFormat/>
    <w:pPr>
      <w:spacing w:before="200" w:after="200"/>
    </w:pPr>
    <w:rPr/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hanging="0"/>
    </w:pPr>
    <w:rPr>
      <w:i/>
    </w:rPr>
  </w:style>
  <w:style w:type="paragraph" w:styleId="Style29">
    <w:name w:val="Колонтитул"/>
    <w:basedOn w:val="Normal"/>
    <w:qFormat/>
    <w:pPr/>
    <w:rPr/>
  </w:style>
  <w:style w:type="paragraph" w:styleId="Style30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</w:pPr>
    <w:rPr/>
  </w:style>
  <w:style w:type="paragraph" w:styleId="Style31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</w:pPr>
    <w:rPr/>
  </w:style>
  <w:style w:type="paragraph" w:styleId="Style32">
    <w:name w:val="Footnote Text"/>
    <w:basedOn w:val="Normal"/>
    <w:uiPriority w:val="99"/>
    <w:semiHidden/>
    <w:unhideWhenUsed/>
    <w:pPr>
      <w:spacing w:before="0" w:after="40"/>
    </w:pPr>
    <w:rPr>
      <w:sz w:val="18"/>
    </w:rPr>
  </w:style>
  <w:style w:type="paragraph" w:styleId="Style33">
    <w:name w:val="Endnote Text"/>
    <w:basedOn w:val="Normal"/>
    <w:uiPriority w:val="99"/>
    <w:semiHidden/>
    <w:unhideWhenUsed/>
    <w:pPr/>
    <w:rPr>
      <w:sz w:val="20"/>
    </w:rPr>
  </w:style>
  <w:style w:type="paragraph" w:styleId="12">
    <w:name w:val="TOC 1"/>
    <w:basedOn w:val="Normal"/>
    <w:uiPriority w:val="39"/>
    <w:unhideWhenUsed/>
    <w:pPr>
      <w:spacing w:before="0" w:after="57"/>
    </w:pPr>
    <w:rPr/>
  </w:style>
  <w:style w:type="paragraph" w:styleId="23">
    <w:name w:val="TOC 2"/>
    <w:basedOn w:val="Normal"/>
    <w:uiPriority w:val="39"/>
    <w:unhideWhenUsed/>
    <w:pPr>
      <w:spacing w:before="0" w:after="57"/>
      <w:ind w:left="283" w:hanging="0"/>
    </w:pPr>
    <w:rPr/>
  </w:style>
  <w:style w:type="paragraph" w:styleId="32">
    <w:name w:val="TOC 3"/>
    <w:basedOn w:val="Normal"/>
    <w:uiPriority w:val="39"/>
    <w:unhideWhenUsed/>
    <w:pPr>
      <w:spacing w:before="0" w:after="57"/>
      <w:ind w:left="567" w:hanging="0"/>
    </w:pPr>
    <w:rPr/>
  </w:style>
  <w:style w:type="paragraph" w:styleId="42">
    <w:name w:val="TOC 4"/>
    <w:basedOn w:val="Normal"/>
    <w:uiPriority w:val="39"/>
    <w:unhideWhenUsed/>
    <w:pPr>
      <w:spacing w:before="0" w:after="57"/>
      <w:ind w:left="850" w:hanging="0"/>
    </w:pPr>
    <w:rPr/>
  </w:style>
  <w:style w:type="paragraph" w:styleId="52">
    <w:name w:val="TOC 5"/>
    <w:basedOn w:val="Normal"/>
    <w:uiPriority w:val="39"/>
    <w:unhideWhenUsed/>
    <w:pPr>
      <w:spacing w:before="0" w:after="57"/>
      <w:ind w:left="1134" w:hanging="0"/>
    </w:pPr>
    <w:rPr/>
  </w:style>
  <w:style w:type="paragraph" w:styleId="62">
    <w:name w:val="TOC 6"/>
    <w:basedOn w:val="Normal"/>
    <w:uiPriority w:val="39"/>
    <w:unhideWhenUsed/>
    <w:pPr>
      <w:spacing w:before="0" w:after="57"/>
      <w:ind w:left="1417" w:hanging="0"/>
    </w:pPr>
    <w:rPr/>
  </w:style>
  <w:style w:type="paragraph" w:styleId="72">
    <w:name w:val="TOC 7"/>
    <w:basedOn w:val="Normal"/>
    <w:uiPriority w:val="39"/>
    <w:unhideWhenUsed/>
    <w:pPr>
      <w:spacing w:before="0" w:after="57"/>
      <w:ind w:left="1701" w:hanging="0"/>
    </w:pPr>
    <w:rPr/>
  </w:style>
  <w:style w:type="paragraph" w:styleId="82">
    <w:name w:val="TOC 8"/>
    <w:basedOn w:val="Normal"/>
    <w:uiPriority w:val="39"/>
    <w:unhideWhenUsed/>
    <w:pPr>
      <w:spacing w:before="0" w:after="57"/>
      <w:ind w:left="1984" w:hanging="0"/>
    </w:pPr>
    <w:rPr/>
  </w:style>
  <w:style w:type="paragraph" w:styleId="92">
    <w:name w:val="TOC 9"/>
    <w:basedOn w:val="Normal"/>
    <w:uiPriority w:val="39"/>
    <w:unhideWhenUsed/>
    <w:pPr>
      <w:spacing w:before="0" w:after="57"/>
      <w:ind w:left="2268" w:hanging="0"/>
    </w:pPr>
    <w:rPr/>
  </w:style>
  <w:style w:type="paragraph" w:styleId="Style34">
    <w:name w:val="Index Heading"/>
    <w:basedOn w:val="Style22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/>
    <w:rPr/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Annotationtext">
    <w:name w:val="annotation text"/>
    <w:basedOn w:val="Normal"/>
    <w:uiPriority w:val="99"/>
    <w:semiHidden/>
    <w:unhideWhenUsed/>
    <w:qFormat/>
    <w:pPr/>
    <w:rPr>
      <w:sz w:val="20"/>
      <w:szCs w:val="20"/>
    </w:rPr>
  </w:style>
  <w:style w:type="paragraph" w:styleId="Annotationsubject">
    <w:name w:val="annotation subject"/>
    <w:basedOn w:val="Annotationtext"/>
    <w:uiPriority w:val="99"/>
    <w:semiHidden/>
    <w:unhideWhenUsed/>
    <w:qFormat/>
    <w:pPr/>
    <w:rPr>
      <w:b/>
      <w:bCs/>
    </w:rPr>
  </w:style>
  <w:style w:type="paragraph" w:styleId="BalloonText">
    <w:name w:val="Balloon Text"/>
    <w:basedOn w:val="Normal"/>
    <w:uiPriority w:val="99"/>
    <w:semiHidden/>
    <w:unhideWhenUsed/>
    <w:qFormat/>
    <w:pPr/>
    <w:rPr>
      <w:rFonts w:ascii="Segoe UI" w:hAnsi="Segoe UI" w:cs="Segoe UI"/>
      <w:sz w:val="18"/>
      <w:szCs w:val="18"/>
    </w:rPr>
  </w:style>
  <w:style w:type="paragraph" w:styleId="Style35">
    <w:name w:val="Содержимое таблицы"/>
    <w:basedOn w:val="Normal"/>
    <w:qFormat/>
    <w:pPr>
      <w:widowControl w:val="false"/>
      <w:suppressLineNumbers/>
    </w:pPr>
    <w:rPr/>
  </w:style>
  <w:style w:type="paragraph" w:styleId="Style36">
    <w:name w:val="Заголовок таблицы"/>
    <w:basedOn w:val="Style35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37098834991">
    <w:name w:val="37098834991"/>
    <w:qFormat/>
  </w:style>
  <w:style w:type="numbering" w:styleId="12834455481">
    <w:name w:val="1283445548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Application>LibreOffice/7.1.8.1$Linux_X86_64 LibreOffice_project/10$Build-1</Application>
  <AppVersion>15.0000</AppVersion>
  <Pages>5</Pages>
  <Words>1799</Words>
  <Characters>13152</Characters>
  <CharactersWithSpaces>14813</CharactersWithSpaces>
  <Paragraphs>139</Paragraphs>
  <Company>DVGK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2024-12-26T04:36:00Z</dcterms:created>
  <dc:creator>Колоусов Иван Владимирович</dc:creator>
  <dc:description/>
  <dc:language>ru-RU</dc:language>
  <cp:lastModifiedBy/>
  <dcterms:modified xsi:type="dcterms:W3CDTF">2026-07-16T10:29:52Z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